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2" w:rsidRDefault="001527AC" w:rsidP="008F7E99">
      <w:pPr>
        <w:pStyle w:val="2"/>
        <w:ind w:firstLine="709"/>
        <w:contextualSpacing/>
        <w:rPr>
          <w:szCs w:val="28"/>
        </w:rPr>
      </w:pPr>
      <w:r w:rsidRPr="00AF1358">
        <w:rPr>
          <w:b/>
          <w:szCs w:val="28"/>
        </w:rPr>
        <w:t xml:space="preserve">1.Вопрос. </w:t>
      </w:r>
      <w:r w:rsidRPr="00AF1358">
        <w:rPr>
          <w:szCs w:val="28"/>
        </w:rPr>
        <w:t xml:space="preserve">С 2021 года наше предприятие переходит на УСН (доходы-расходы). Планируется ли расширение перечня расходов, учитываемых в целях налогообложения, при применении УСН? </w:t>
      </w:r>
    </w:p>
    <w:p w:rsidR="001527AC" w:rsidRPr="00AF1358" w:rsidRDefault="001527AC" w:rsidP="008F7E99">
      <w:pPr>
        <w:pStyle w:val="2"/>
        <w:ind w:firstLine="709"/>
        <w:contextualSpacing/>
        <w:rPr>
          <w:szCs w:val="28"/>
        </w:rPr>
      </w:pPr>
      <w:r w:rsidRPr="00AF1358">
        <w:rPr>
          <w:b/>
          <w:szCs w:val="28"/>
        </w:rPr>
        <w:t xml:space="preserve">Ответ. </w:t>
      </w:r>
      <w:r w:rsidRPr="00AF1358">
        <w:rPr>
          <w:szCs w:val="28"/>
        </w:rPr>
        <w:t>Статьей 346.16 Налогового кодекса Российской Федерации (далее-Кодекс) определен перечень расходов, уменьшающих полученные доходы</w:t>
      </w:r>
      <w:r>
        <w:rPr>
          <w:szCs w:val="28"/>
        </w:rPr>
        <w:t xml:space="preserve"> при применении налогоплательщиком упрощенной системы налогообложения (далее - УСН)</w:t>
      </w:r>
      <w:r w:rsidRPr="00AF1358">
        <w:rPr>
          <w:szCs w:val="28"/>
        </w:rPr>
        <w:t xml:space="preserve">. Данный перечень является закрытым. </w:t>
      </w:r>
      <w:r>
        <w:rPr>
          <w:szCs w:val="28"/>
        </w:rPr>
        <w:tab/>
      </w:r>
      <w:r w:rsidRPr="00AF1358">
        <w:rPr>
          <w:szCs w:val="28"/>
        </w:rPr>
        <w:t>Управление Федеральной налоговой службы по Хабаровскому краю не располагает информацией об изменении  данного перечня с 2021 года.</w:t>
      </w:r>
    </w:p>
    <w:p w:rsidR="008F7E99" w:rsidRDefault="008F7E99" w:rsidP="008F7E99">
      <w:pPr>
        <w:pStyle w:val="2"/>
        <w:ind w:firstLine="709"/>
        <w:contextualSpacing/>
        <w:rPr>
          <w:b/>
          <w:szCs w:val="28"/>
          <w:lang w:val="en-US"/>
        </w:rPr>
      </w:pPr>
    </w:p>
    <w:p w:rsidR="001527AC" w:rsidRDefault="001527AC" w:rsidP="008F7E99">
      <w:pPr>
        <w:pStyle w:val="2"/>
        <w:ind w:firstLine="709"/>
        <w:contextualSpacing/>
        <w:rPr>
          <w:szCs w:val="28"/>
        </w:rPr>
      </w:pPr>
      <w:r w:rsidRPr="00AA583D">
        <w:rPr>
          <w:b/>
          <w:szCs w:val="28"/>
        </w:rPr>
        <w:t>2.Вопрос.</w:t>
      </w:r>
      <w:r w:rsidR="009A12D5">
        <w:rPr>
          <w:b/>
          <w:szCs w:val="28"/>
        </w:rPr>
        <w:t xml:space="preserve"> </w:t>
      </w:r>
      <w:r w:rsidRPr="00AF1358">
        <w:rPr>
          <w:szCs w:val="28"/>
        </w:rPr>
        <w:t xml:space="preserve">Являемся плательщиком ЕНВД (ОКВЭД розничная продажа обуви и т.д.). В связи с переходом на маркировку обуви не верно подали уведомление о переходе на УСН 15% вместо 6%. Можно ли поменять на УСН 6%? (не верно посчитали предварительную налоговую нагрузку в связи с переходом на УСН). Сейчас пока на </w:t>
      </w:r>
      <w:r w:rsidR="00C96002">
        <w:rPr>
          <w:szCs w:val="28"/>
        </w:rPr>
        <w:t>ЕНВД.</w:t>
      </w:r>
    </w:p>
    <w:p w:rsidR="001527AC" w:rsidRPr="00AA583D" w:rsidRDefault="001527AC" w:rsidP="008F7E99">
      <w:pPr>
        <w:ind w:firstLine="709"/>
        <w:contextualSpacing/>
        <w:jc w:val="both"/>
        <w:rPr>
          <w:sz w:val="28"/>
          <w:szCs w:val="28"/>
        </w:rPr>
      </w:pPr>
      <w:r w:rsidRPr="00AA583D">
        <w:rPr>
          <w:b/>
          <w:sz w:val="28"/>
          <w:szCs w:val="28"/>
        </w:rPr>
        <w:t>Ответ.</w:t>
      </w:r>
      <w:r w:rsidR="008F7E99" w:rsidRPr="008F7E99">
        <w:rPr>
          <w:b/>
          <w:sz w:val="28"/>
          <w:szCs w:val="28"/>
        </w:rPr>
        <w:t xml:space="preserve"> </w:t>
      </w:r>
      <w:r w:rsidRPr="00AA583D">
        <w:rPr>
          <w:sz w:val="28"/>
          <w:szCs w:val="28"/>
        </w:rPr>
        <w:t xml:space="preserve">В соответствии со статьей 346.13 Кодекса </w:t>
      </w:r>
      <w:r>
        <w:rPr>
          <w:sz w:val="28"/>
          <w:szCs w:val="28"/>
        </w:rPr>
        <w:t xml:space="preserve"> о</w:t>
      </w:r>
      <w:r w:rsidRPr="00AA583D">
        <w:rPr>
          <w:sz w:val="28"/>
          <w:szCs w:val="28"/>
        </w:rPr>
        <w:t>рганизации и индивидуальные предприниматели, изъявившие желани</w:t>
      </w:r>
      <w:r>
        <w:rPr>
          <w:sz w:val="28"/>
          <w:szCs w:val="28"/>
        </w:rPr>
        <w:t xml:space="preserve">е перейти на УСН </w:t>
      </w:r>
      <w:r w:rsidRPr="00AA583D">
        <w:rPr>
          <w:sz w:val="28"/>
          <w:szCs w:val="28"/>
        </w:rPr>
        <w:t xml:space="preserve"> со следующего календарного года,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года, предшествующего календарному году, начиная с которого они переходят на </w:t>
      </w:r>
      <w:r>
        <w:rPr>
          <w:sz w:val="28"/>
          <w:szCs w:val="28"/>
        </w:rPr>
        <w:t>УСН</w:t>
      </w:r>
      <w:r w:rsidRPr="00AA583D">
        <w:rPr>
          <w:sz w:val="28"/>
          <w:szCs w:val="28"/>
        </w:rPr>
        <w:t>.</w:t>
      </w:r>
    </w:p>
    <w:p w:rsidR="008F7E99" w:rsidRPr="008F7E99" w:rsidRDefault="001527AC" w:rsidP="008F7E99">
      <w:pPr>
        <w:pStyle w:val="2"/>
        <w:ind w:firstLine="709"/>
        <w:contextualSpacing/>
        <w:rPr>
          <w:szCs w:val="28"/>
        </w:rPr>
      </w:pPr>
      <w:r w:rsidRPr="00606519">
        <w:rPr>
          <w:szCs w:val="28"/>
        </w:rPr>
        <w:t xml:space="preserve">В уведомлении указывается выбранный объект налогообложения. Организации указывают в уведомлении также остаточную стоимость основных средств и размер доходов по состоянию на 1 октября года, предшествующего календарному году, начиная с которого они переходят на </w:t>
      </w:r>
      <w:r>
        <w:rPr>
          <w:szCs w:val="28"/>
        </w:rPr>
        <w:t>УСН</w:t>
      </w:r>
      <w:r w:rsidRPr="00606519">
        <w:rPr>
          <w:szCs w:val="28"/>
        </w:rPr>
        <w:t>.</w:t>
      </w:r>
    </w:p>
    <w:p w:rsidR="001527AC" w:rsidRPr="008F7E99" w:rsidRDefault="001527AC" w:rsidP="008F7E99">
      <w:pPr>
        <w:pStyle w:val="2"/>
        <w:ind w:firstLine="709"/>
        <w:contextualSpacing/>
        <w:rPr>
          <w:szCs w:val="28"/>
        </w:rPr>
      </w:pPr>
      <w:r>
        <w:t>В соответствии со статьей 346.14 Кодекса выбор объекта налогообложения осуществляется самим налогоплательщиком. Объект налогообложения может изменяться налогоплательщиком ежегодно. Объект налогообложения может быть изменен с начала налогового периода, если налогоплательщик уведомит об этом налоговый орган до 31 декабря года, предшествующего году, в котором налогоплательщик предлагает изменить объект налогообложения. В течение налогового периода налогоплательщик не может менять объект налогообложения.</w:t>
      </w:r>
    </w:p>
    <w:p w:rsidR="001527AC" w:rsidRDefault="001527AC" w:rsidP="008F7E99">
      <w:pPr>
        <w:ind w:firstLine="709"/>
        <w:contextualSpacing/>
        <w:jc w:val="both"/>
        <w:rPr>
          <w:sz w:val="28"/>
        </w:rPr>
      </w:pPr>
      <w:r>
        <w:rPr>
          <w:sz w:val="28"/>
        </w:rPr>
        <w:t>Таким образом, изменить объект налогообложения, выбранный  налогоплательщиком  при подаче  уведомления о переходе на упрощенную систему налогообложения, возможно только на 2021 г., направив в налоговый орган Уведомление об изменении объекта налогообложения  формы № 26.2-6 (КНД 1150016).</w:t>
      </w:r>
    </w:p>
    <w:p w:rsidR="001527AC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03785B">
        <w:rPr>
          <w:b/>
          <w:sz w:val="28"/>
        </w:rPr>
        <w:t>3. Вопрос.</w:t>
      </w:r>
      <w:bookmarkStart w:id="0" w:name="P2"/>
      <w:bookmarkEnd w:id="0"/>
      <w:r w:rsidR="008F7E99" w:rsidRPr="008F7E99">
        <w:rPr>
          <w:b/>
          <w:sz w:val="28"/>
        </w:rPr>
        <w:t xml:space="preserve"> </w:t>
      </w:r>
      <w:r w:rsidRPr="00AF1358">
        <w:rPr>
          <w:sz w:val="28"/>
          <w:szCs w:val="28"/>
        </w:rPr>
        <w:t xml:space="preserve">В 2021 </w:t>
      </w:r>
      <w:r>
        <w:rPr>
          <w:sz w:val="28"/>
          <w:szCs w:val="28"/>
        </w:rPr>
        <w:t xml:space="preserve">г. </w:t>
      </w:r>
      <w:r w:rsidRPr="00AF1358">
        <w:rPr>
          <w:sz w:val="28"/>
          <w:szCs w:val="28"/>
        </w:rPr>
        <w:t xml:space="preserve">будет отменен ЕНВД. В ряде субъектов РФ уже принимаются на региональном уровне сниженные ставки УСН для тех видов </w:t>
      </w:r>
      <w:r w:rsidRPr="00AF1358">
        <w:rPr>
          <w:sz w:val="28"/>
          <w:szCs w:val="28"/>
        </w:rPr>
        <w:lastRenderedPageBreak/>
        <w:t>деятельности, которые применяли ЕНВД. Планируется ли в Хабаровском крае снижение ставок УСН (на</w:t>
      </w:r>
      <w:r w:rsidR="008F7E99">
        <w:rPr>
          <w:sz w:val="28"/>
          <w:szCs w:val="28"/>
        </w:rPr>
        <w:t>логовые каникулы для перехода)?</w:t>
      </w:r>
      <w:r w:rsidRPr="00AF1358">
        <w:rPr>
          <w:sz w:val="28"/>
          <w:szCs w:val="28"/>
          <w:lang/>
        </w:rPr>
        <w:t xml:space="preserve"> </w:t>
      </w:r>
    </w:p>
    <w:p w:rsidR="001527AC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03785B">
        <w:rPr>
          <w:b/>
          <w:sz w:val="28"/>
          <w:szCs w:val="28"/>
          <w:lang/>
        </w:rPr>
        <w:t>Ответ.</w:t>
      </w:r>
      <w:r w:rsidR="008F7E99" w:rsidRPr="008F7E99">
        <w:rPr>
          <w:b/>
          <w:sz w:val="28"/>
          <w:szCs w:val="28"/>
          <w:lang/>
        </w:rPr>
        <w:t xml:space="preserve"> </w:t>
      </w:r>
      <w:r w:rsidRPr="0003785B">
        <w:rPr>
          <w:sz w:val="28"/>
          <w:szCs w:val="28"/>
          <w:lang/>
        </w:rPr>
        <w:t xml:space="preserve">Законом Хабаровского края  от 10.11.2005 № 308 «О региональных налогах и налоговых льготах </w:t>
      </w:r>
      <w:r>
        <w:rPr>
          <w:sz w:val="28"/>
          <w:szCs w:val="28"/>
          <w:lang/>
        </w:rPr>
        <w:t>в Хабаровском крае»  в настоящее время не предусмотрено  льготных  налоговых ставок для налогоплательщиков, переходящих с ЕНВД на УСН. По вопросу планируемых изменений  законодательства Хабаровского края в части   льготных налоговых ставок следует обращаться  в законодательные и исполнительные органы Хабаровского края.</w:t>
      </w:r>
    </w:p>
    <w:p w:rsidR="001527AC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2E0687">
        <w:rPr>
          <w:b/>
          <w:sz w:val="28"/>
          <w:szCs w:val="28"/>
          <w:lang/>
        </w:rPr>
        <w:t xml:space="preserve">4 </w:t>
      </w:r>
      <w:r w:rsidRPr="002E0687">
        <w:rPr>
          <w:b/>
          <w:sz w:val="28"/>
        </w:rPr>
        <w:t>Вопрос.</w:t>
      </w:r>
      <w:r w:rsidR="002E0687">
        <w:rPr>
          <w:sz w:val="28"/>
          <w:szCs w:val="28"/>
          <w:lang/>
        </w:rPr>
        <w:t xml:space="preserve"> </w:t>
      </w:r>
      <w:r w:rsidRPr="00580E96">
        <w:rPr>
          <w:sz w:val="28"/>
          <w:szCs w:val="28"/>
          <w:lang/>
        </w:rPr>
        <w:t>«Есть ли регламент по урегулированию споров до назначения ВНП?»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C56C79">
        <w:rPr>
          <w:b/>
          <w:sz w:val="28"/>
          <w:szCs w:val="28"/>
          <w:lang/>
        </w:rPr>
        <w:t>Ответ.</w:t>
      </w:r>
      <w:r w:rsidR="008F7E99" w:rsidRPr="009A12D5">
        <w:rPr>
          <w:sz w:val="28"/>
          <w:szCs w:val="28"/>
          <w:lang/>
        </w:rPr>
        <w:t xml:space="preserve"> </w:t>
      </w:r>
      <w:r w:rsidRPr="00580E96">
        <w:rPr>
          <w:sz w:val="28"/>
          <w:szCs w:val="28"/>
          <w:lang/>
        </w:rPr>
        <w:t xml:space="preserve">Регламент по урегулированию споров, возникающих между налогоплательщиком и налоговыми органами вне рамок проведения выездной налоговой проверки, отсутствует. 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580E96">
        <w:rPr>
          <w:sz w:val="28"/>
          <w:szCs w:val="28"/>
          <w:lang/>
        </w:rPr>
        <w:t>При этом Налоговый кодекс Российской Федерации (далее – НК РФ) ст. 31 НК РФ закрепляет права налоговых органов, а ст. 21 НК РФ регламентируют права налогоплательщиков (плательщиков сборов, плательщиков страховых взносов. Все действия налоговых органов, выполненные в рамках предоставляемых прав, являются правомерными.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</w:p>
    <w:p w:rsidR="001527AC" w:rsidRPr="00580E96" w:rsidRDefault="009A12D5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9A12D5">
        <w:rPr>
          <w:b/>
          <w:sz w:val="28"/>
          <w:szCs w:val="28"/>
          <w:lang w:val="en-US"/>
        </w:rPr>
        <w:t xml:space="preserve">5. </w:t>
      </w:r>
      <w:r w:rsidR="001527AC" w:rsidRPr="009A12D5">
        <w:rPr>
          <w:b/>
          <w:sz w:val="28"/>
          <w:szCs w:val="28"/>
          <w:lang/>
        </w:rPr>
        <w:t>Вопрос.</w:t>
      </w:r>
      <w:r w:rsidR="001527AC" w:rsidRPr="009A12D5">
        <w:rPr>
          <w:b/>
          <w:sz w:val="28"/>
          <w:szCs w:val="28"/>
          <w:lang/>
        </w:rPr>
        <w:tab/>
      </w:r>
      <w:r w:rsidR="001527AC" w:rsidRPr="00580E96">
        <w:rPr>
          <w:sz w:val="28"/>
          <w:szCs w:val="28"/>
          <w:lang/>
        </w:rPr>
        <w:t>«При выявлении признаков дробления назначается ВНП только по проверке этого признака или по всем налогам?»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C56C79">
        <w:rPr>
          <w:b/>
          <w:sz w:val="28"/>
          <w:szCs w:val="28"/>
          <w:lang/>
        </w:rPr>
        <w:t>Ответ.</w:t>
      </w:r>
      <w:r w:rsidR="009A12D5" w:rsidRPr="009A12D5">
        <w:rPr>
          <w:sz w:val="28"/>
          <w:szCs w:val="28"/>
          <w:lang/>
        </w:rPr>
        <w:t xml:space="preserve"> </w:t>
      </w:r>
      <w:r w:rsidRPr="00580E96">
        <w:rPr>
          <w:sz w:val="28"/>
          <w:szCs w:val="28"/>
          <w:lang/>
        </w:rPr>
        <w:t xml:space="preserve">Основанием для включения в план выездных проверок служит наличие критериев налогового риска, определенных Концепцией системы планирования выездных налоговых проверок, утвержденной приказом ФНС России от 30.05.2007 № ММ-3-06/333@ (далее – Концепция системы планирования ВНП). С помощь данной Концепции налогоплательщики могут самостоятельно оценить наличие налоговых рисков при ведении своей финансово-хозяйственной деятельности. 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580E96">
        <w:rPr>
          <w:sz w:val="28"/>
          <w:szCs w:val="28"/>
          <w:lang/>
        </w:rPr>
        <w:t xml:space="preserve">Наличие у налогоплательщика налогового риска в виде применения им схемы уклонения от уплаты налогов в виде «дробления» бизнеса затрагивает общее ведение финансово-хозяйственной деятельности налогоплательщиком, в связи с этим, в ходе проведения налоговыми органами мероприятий налогового контроля, проверке подлежат все исчисляемые и уплачиваемые налогоплательщиком налоги и сборы. </w:t>
      </w:r>
    </w:p>
    <w:p w:rsidR="001527AC" w:rsidRPr="00580E96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</w:p>
    <w:p w:rsidR="001527AC" w:rsidRPr="00580E96" w:rsidRDefault="002E0687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2E0687">
        <w:rPr>
          <w:b/>
          <w:sz w:val="28"/>
          <w:szCs w:val="28"/>
          <w:lang/>
        </w:rPr>
        <w:t xml:space="preserve">6. </w:t>
      </w:r>
      <w:r w:rsidR="001527AC" w:rsidRPr="002E0687">
        <w:rPr>
          <w:b/>
          <w:sz w:val="28"/>
          <w:szCs w:val="28"/>
          <w:lang/>
        </w:rPr>
        <w:t>Вопрос.</w:t>
      </w:r>
      <w:r>
        <w:rPr>
          <w:sz w:val="28"/>
          <w:szCs w:val="28"/>
          <w:lang/>
        </w:rPr>
        <w:t xml:space="preserve"> </w:t>
      </w:r>
      <w:r w:rsidR="001527AC" w:rsidRPr="00580E96">
        <w:rPr>
          <w:sz w:val="28"/>
          <w:szCs w:val="28"/>
          <w:lang/>
        </w:rPr>
        <w:t>«Где можно посмотреть план ВНП?»</w:t>
      </w:r>
    </w:p>
    <w:p w:rsidR="001527AC" w:rsidRDefault="001527AC" w:rsidP="008F7E99">
      <w:pPr>
        <w:ind w:firstLine="709"/>
        <w:contextualSpacing/>
        <w:jc w:val="both"/>
        <w:rPr>
          <w:sz w:val="28"/>
          <w:szCs w:val="28"/>
          <w:lang/>
        </w:rPr>
      </w:pPr>
      <w:r w:rsidRPr="00C56C79">
        <w:rPr>
          <w:b/>
          <w:sz w:val="28"/>
          <w:szCs w:val="28"/>
          <w:lang/>
        </w:rPr>
        <w:t>Ответ.</w:t>
      </w:r>
      <w:bookmarkStart w:id="1" w:name="_GoBack"/>
      <w:bookmarkEnd w:id="1"/>
      <w:r w:rsidR="00E957CD">
        <w:rPr>
          <w:sz w:val="28"/>
          <w:szCs w:val="28"/>
          <w:lang/>
        </w:rPr>
        <w:t xml:space="preserve"> </w:t>
      </w:r>
      <w:r w:rsidRPr="00580E96">
        <w:rPr>
          <w:sz w:val="28"/>
          <w:szCs w:val="28"/>
          <w:lang/>
        </w:rPr>
        <w:t>План выездных налоговых проверок является информацией для служебного пользования и не подлежит разглашению третьим лицам. Наличие вероятности назначения выездной налоговой проверки можно определить налогоплательщику самостоятельно, оценив через Концепцию системы планирования ВНП, либо оценив доводы налогового органа, отраженные в уведомлении или в протоколе комиссии, проведенной налоговыми органами по достоверности формирования налогоплательщиком налоговой базы.</w:t>
      </w:r>
    </w:p>
    <w:p w:rsidR="0075383E" w:rsidRPr="001527AC" w:rsidRDefault="0075383E" w:rsidP="008F7E99">
      <w:pPr>
        <w:ind w:firstLine="709"/>
        <w:contextualSpacing/>
        <w:rPr>
          <w:szCs w:val="28"/>
        </w:rPr>
      </w:pPr>
    </w:p>
    <w:sectPr w:rsidR="0075383E" w:rsidRPr="001527AC" w:rsidSect="007149B6">
      <w:headerReference w:type="default" r:id="rId8"/>
      <w:headerReference w:type="first" r:id="rId9"/>
      <w:pgSz w:w="11905" w:h="16838"/>
      <w:pgMar w:top="814" w:right="565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4E" w:rsidRDefault="00842D4E" w:rsidP="00396943">
      <w:r>
        <w:separator/>
      </w:r>
    </w:p>
  </w:endnote>
  <w:endnote w:type="continuationSeparator" w:id="1">
    <w:p w:rsidR="00842D4E" w:rsidRDefault="00842D4E" w:rsidP="0039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4E" w:rsidRDefault="00842D4E" w:rsidP="00396943">
      <w:r>
        <w:separator/>
      </w:r>
    </w:p>
  </w:footnote>
  <w:footnote w:type="continuationSeparator" w:id="1">
    <w:p w:rsidR="00842D4E" w:rsidRDefault="00842D4E" w:rsidP="0039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184"/>
    </w:sdtPr>
    <w:sdtContent>
      <w:p w:rsidR="0072099B" w:rsidRDefault="009F1705">
        <w:pPr>
          <w:pStyle w:val="a3"/>
          <w:jc w:val="center"/>
        </w:pPr>
        <w:fldSimple w:instr=" PAGE   \* MERGEFORMAT ">
          <w:r w:rsidR="00C56C7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0" w:rsidRPr="001527AC" w:rsidRDefault="00CA7F40" w:rsidP="0075383E">
    <w:pPr>
      <w:pStyle w:val="a3"/>
      <w:jc w:val="center"/>
      <w:rPr>
        <w:rFonts w:ascii="Times New Roman" w:hAnsi="Times New Roman" w:cs="Times New Roman"/>
      </w:rPr>
    </w:pPr>
  </w:p>
  <w:p w:rsidR="001527AC" w:rsidRDefault="00CA7F40" w:rsidP="001527AC">
    <w:pPr>
      <w:pStyle w:val="a3"/>
      <w:jc w:val="center"/>
    </w:pPr>
    <w:r w:rsidRPr="001527AC">
      <w:rPr>
        <w:rFonts w:ascii="Times New Roman" w:hAnsi="Times New Roman" w:cs="Times New Roman"/>
      </w:rPr>
      <w:t>Публичное обсуждение по вопросам правоприменительной практики налоговых органов Хабаровского края и соблюдения обязательных требований при проведении контрольно-надзорной деятельности</w:t>
    </w:r>
    <w:r w:rsidR="001527AC">
      <w:rPr>
        <w:rFonts w:ascii="Times New Roman" w:hAnsi="Times New Roman" w:cs="Times New Roman"/>
      </w:rPr>
      <w:t xml:space="preserve"> по теме: </w:t>
    </w:r>
    <w:r w:rsidR="001527AC" w:rsidRPr="001527AC">
      <w:rPr>
        <w:rFonts w:ascii="Times New Roman" w:hAnsi="Times New Roman" w:cs="Times New Roman"/>
      </w:rPr>
      <w:t xml:space="preserve">«Незаконное использование  схем дробления бизнеса», проводимых УФНС России по Хабаровскому краю  </w:t>
    </w:r>
  </w:p>
  <w:p w:rsidR="001527AC" w:rsidRPr="001527AC" w:rsidRDefault="001527AC" w:rsidP="001527AC">
    <w:pPr>
      <w:spacing w:after="1" w:line="280" w:lineRule="atLeast"/>
      <w:ind w:firstLine="540"/>
      <w:jc w:val="center"/>
      <w:rPr>
        <w:sz w:val="22"/>
        <w:szCs w:val="22"/>
      </w:rPr>
    </w:pPr>
    <w:r w:rsidRPr="001527AC">
      <w:rPr>
        <w:sz w:val="22"/>
        <w:szCs w:val="22"/>
      </w:rPr>
      <w:t>29.01.2020 года.</w:t>
    </w:r>
  </w:p>
  <w:p w:rsidR="001527AC" w:rsidRDefault="001527AC" w:rsidP="0075383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CA7F40" w:rsidRPr="0075383E" w:rsidRDefault="0067127D" w:rsidP="0075383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5383E">
      <w:rPr>
        <w:rFonts w:ascii="Times New Roman" w:hAnsi="Times New Roman" w:cs="Times New Roman"/>
        <w:sz w:val="24"/>
        <w:szCs w:val="24"/>
      </w:rPr>
      <w:t>Ответы на вопросы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E0E66"/>
    <w:rsid w:val="000003D0"/>
    <w:rsid w:val="001527AC"/>
    <w:rsid w:val="001F3566"/>
    <w:rsid w:val="002E0687"/>
    <w:rsid w:val="00396943"/>
    <w:rsid w:val="004370EF"/>
    <w:rsid w:val="005A0B22"/>
    <w:rsid w:val="005A5A12"/>
    <w:rsid w:val="005A68BD"/>
    <w:rsid w:val="005C24E1"/>
    <w:rsid w:val="00606D9C"/>
    <w:rsid w:val="0067127D"/>
    <w:rsid w:val="00673495"/>
    <w:rsid w:val="00676ED6"/>
    <w:rsid w:val="006B447F"/>
    <w:rsid w:val="00706F9C"/>
    <w:rsid w:val="007149B6"/>
    <w:rsid w:val="0072099B"/>
    <w:rsid w:val="0075383E"/>
    <w:rsid w:val="007C0200"/>
    <w:rsid w:val="007D130D"/>
    <w:rsid w:val="00816F43"/>
    <w:rsid w:val="00842D4E"/>
    <w:rsid w:val="0088592F"/>
    <w:rsid w:val="00885F2F"/>
    <w:rsid w:val="008E0E66"/>
    <w:rsid w:val="008F7E99"/>
    <w:rsid w:val="00967524"/>
    <w:rsid w:val="009A12D5"/>
    <w:rsid w:val="009B0E45"/>
    <w:rsid w:val="009F1705"/>
    <w:rsid w:val="00A1107D"/>
    <w:rsid w:val="00A11375"/>
    <w:rsid w:val="00A328BE"/>
    <w:rsid w:val="00A61747"/>
    <w:rsid w:val="00B31A57"/>
    <w:rsid w:val="00BE0A12"/>
    <w:rsid w:val="00C31E9F"/>
    <w:rsid w:val="00C50743"/>
    <w:rsid w:val="00C56C79"/>
    <w:rsid w:val="00C96002"/>
    <w:rsid w:val="00CA7F40"/>
    <w:rsid w:val="00D64409"/>
    <w:rsid w:val="00E957CD"/>
    <w:rsid w:val="00EC108F"/>
    <w:rsid w:val="00ED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3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6943"/>
  </w:style>
  <w:style w:type="paragraph" w:styleId="a5">
    <w:name w:val="footer"/>
    <w:basedOn w:val="a"/>
    <w:link w:val="a6"/>
    <w:uiPriority w:val="99"/>
    <w:unhideWhenUsed/>
    <w:rsid w:val="003969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6943"/>
  </w:style>
  <w:style w:type="paragraph" w:styleId="2">
    <w:name w:val="Body Text 2"/>
    <w:basedOn w:val="a"/>
    <w:link w:val="20"/>
    <w:uiPriority w:val="99"/>
    <w:rsid w:val="00D6440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64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32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3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rsid w:val="00C507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2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9A8A-AB5E-42EF-AA84-35CF691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Яшилбаева Екатерина Александоровна</dc:creator>
  <cp:lastModifiedBy>User</cp:lastModifiedBy>
  <cp:revision>8</cp:revision>
  <cp:lastPrinted>2018-09-12T04:19:00Z</cp:lastPrinted>
  <dcterms:created xsi:type="dcterms:W3CDTF">2020-02-09T23:57:00Z</dcterms:created>
  <dcterms:modified xsi:type="dcterms:W3CDTF">2020-02-10T00:18:00Z</dcterms:modified>
</cp:coreProperties>
</file>